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2ED49">
      <w:pPr>
        <w:pStyle w:val="4"/>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评分细则</w:t>
      </w:r>
    </w:p>
    <w:tbl>
      <w:tblPr>
        <w:tblStyle w:val="8"/>
        <w:tblpPr w:leftFromText="180" w:rightFromText="180" w:vertAnchor="page" w:horzAnchor="page" w:tblpXSpec="center" w:tblpY="2058"/>
        <w:tblOverlap w:val="never"/>
        <w:tblW w:w="8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463"/>
        <w:gridCol w:w="6018"/>
      </w:tblGrid>
      <w:tr w14:paraId="3E6E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230" w:type="dxa"/>
            <w:vAlign w:val="center"/>
          </w:tcPr>
          <w:p w14:paraId="7187E9C8">
            <w:pPr>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1</w:t>
            </w:r>
          </w:p>
        </w:tc>
        <w:tc>
          <w:tcPr>
            <w:tcW w:w="1463" w:type="dxa"/>
            <w:vAlign w:val="center"/>
          </w:tcPr>
          <w:p w14:paraId="05859395">
            <w:pPr>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ascii="仿宋" w:hAnsi="仿宋" w:eastAsia="仿宋" w:cs="仿宋"/>
                <w:color w:val="000000" w:themeColor="text1"/>
                <w:kern w:val="0"/>
                <w:sz w:val="20"/>
                <w:szCs w:val="21"/>
                <w:lang w:val="en-US" w:eastAsia="zh-CN"/>
                <w14:textFill>
                  <w14:solidFill>
                    <w14:schemeClr w14:val="tx1"/>
                  </w14:solidFill>
                </w14:textFill>
              </w:rPr>
              <w:t>报价</w:t>
            </w:r>
            <w:r>
              <w:rPr>
                <w:rFonts w:hint="eastAsia" w:ascii="仿宋" w:hAnsi="仿宋" w:eastAsia="仿宋" w:cs="仿宋"/>
                <w:color w:val="000000" w:themeColor="text1"/>
                <w:kern w:val="0"/>
                <w:sz w:val="20"/>
                <w:szCs w:val="21"/>
                <w14:textFill>
                  <w14:solidFill>
                    <w14:schemeClr w14:val="tx1"/>
                  </w14:solidFill>
                </w14:textFill>
              </w:rPr>
              <w:t>评审</w:t>
            </w:r>
            <w:r>
              <w:rPr>
                <w:rFonts w:hint="eastAsia" w:ascii="仿宋" w:hAnsi="仿宋" w:eastAsia="仿宋" w:cs="仿宋"/>
                <w:color w:val="000000" w:themeColor="text1"/>
                <w:kern w:val="0"/>
                <w:sz w:val="20"/>
                <w:szCs w:val="21"/>
                <w:lang w:val="en-US" w:eastAsia="zh-CN"/>
                <w14:textFill>
                  <w14:solidFill>
                    <w14:schemeClr w14:val="tx1"/>
                  </w14:solidFill>
                </w14:textFill>
              </w:rPr>
              <w:t xml:space="preserve">         </w:t>
            </w:r>
            <w:r>
              <w:rPr>
                <w:rFonts w:hint="eastAsia" w:ascii="仿宋" w:hAnsi="仿宋" w:eastAsia="仿宋" w:cs="仿宋"/>
                <w:color w:val="000000" w:themeColor="text1"/>
                <w:kern w:val="0"/>
                <w:sz w:val="20"/>
                <w:szCs w:val="21"/>
                <w14:textFill>
                  <w14:solidFill>
                    <w14:schemeClr w14:val="tx1"/>
                  </w14:solidFill>
                </w14:textFill>
              </w:rPr>
              <w:t>（2</w:t>
            </w:r>
            <w:r>
              <w:rPr>
                <w:rFonts w:hint="eastAsia" w:ascii="仿宋" w:hAnsi="仿宋" w:eastAsia="仿宋" w:cs="仿宋"/>
                <w:color w:val="000000" w:themeColor="text1"/>
                <w:kern w:val="0"/>
                <w:sz w:val="20"/>
                <w:szCs w:val="21"/>
                <w:lang w:val="en-US" w:eastAsia="zh-CN"/>
                <w14:textFill>
                  <w14:solidFill>
                    <w14:schemeClr w14:val="tx1"/>
                  </w14:solidFill>
                </w14:textFill>
              </w:rPr>
              <w:t>5</w:t>
            </w:r>
            <w:r>
              <w:rPr>
                <w:rFonts w:hint="eastAsia" w:ascii="仿宋" w:hAnsi="仿宋" w:eastAsia="仿宋" w:cs="仿宋"/>
                <w:color w:val="000000" w:themeColor="text1"/>
                <w:kern w:val="0"/>
                <w:sz w:val="20"/>
                <w:szCs w:val="21"/>
                <w14:textFill>
                  <w14:solidFill>
                    <w14:schemeClr w14:val="tx1"/>
                  </w14:solidFill>
                </w14:textFill>
              </w:rPr>
              <w:t>分）</w:t>
            </w:r>
          </w:p>
        </w:tc>
        <w:tc>
          <w:tcPr>
            <w:tcW w:w="6018" w:type="dxa"/>
            <w:vAlign w:val="center"/>
          </w:tcPr>
          <w:p w14:paraId="09E92D0F">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bCs/>
                <w:kern w:val="0"/>
                <w:sz w:val="20"/>
                <w:szCs w:val="21"/>
              </w:rPr>
            </w:pPr>
            <w:r>
              <w:rPr>
                <w:rFonts w:hint="eastAsia" w:ascii="仿宋" w:hAnsi="仿宋" w:eastAsia="仿宋" w:cs="仿宋"/>
                <w:color w:val="000000" w:themeColor="text1"/>
                <w:kern w:val="0"/>
                <w:sz w:val="20"/>
                <w:szCs w:val="21"/>
                <w:lang w:val="en-US" w:eastAsia="zh-CN"/>
                <w14:textFill>
                  <w14:solidFill>
                    <w14:schemeClr w14:val="tx1"/>
                  </w14:solidFill>
                </w14:textFill>
              </w:rPr>
              <w:t>满足磋商文件要求且最终报价最低的报价为基准价，价格项得分=（基准价／报价）×价格权值×100</w:t>
            </w:r>
          </w:p>
        </w:tc>
      </w:tr>
      <w:tr w14:paraId="34ED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0" w:type="dxa"/>
            <w:vAlign w:val="center"/>
          </w:tcPr>
          <w:p w14:paraId="22A18992">
            <w:pPr>
              <w:jc w:val="center"/>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2</w:t>
            </w:r>
          </w:p>
        </w:tc>
        <w:tc>
          <w:tcPr>
            <w:tcW w:w="1463" w:type="dxa"/>
            <w:vAlign w:val="center"/>
          </w:tcPr>
          <w:p w14:paraId="296806DC">
            <w:pPr>
              <w:jc w:val="center"/>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lang w:val="en-US" w:eastAsia="zh-CN"/>
                <w14:textFill>
                  <w14:solidFill>
                    <w14:schemeClr w14:val="tx1"/>
                  </w14:solidFill>
                </w14:textFill>
              </w:rPr>
              <w:t>人员资质</w:t>
            </w:r>
            <w:r>
              <w:rPr>
                <w:rFonts w:hint="eastAsia" w:ascii="仿宋" w:hAnsi="仿宋" w:eastAsia="仿宋" w:cs="仿宋"/>
                <w:color w:val="000000" w:themeColor="text1"/>
                <w:kern w:val="0"/>
                <w:sz w:val="20"/>
                <w:szCs w:val="21"/>
                <w14:textFill>
                  <w14:solidFill>
                    <w14:schemeClr w14:val="tx1"/>
                  </w14:solidFill>
                </w14:textFill>
              </w:rPr>
              <w:t>评审</w:t>
            </w:r>
          </w:p>
          <w:p w14:paraId="5A620FE6">
            <w:pPr>
              <w:jc w:val="center"/>
              <w:rPr>
                <w:rFonts w:hint="eastAsia"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w:t>
            </w:r>
            <w:r>
              <w:rPr>
                <w:rFonts w:hint="eastAsia" w:ascii="仿宋" w:hAnsi="仿宋" w:eastAsia="仿宋" w:cs="仿宋"/>
                <w:color w:val="000000" w:themeColor="text1"/>
                <w:kern w:val="0"/>
                <w:sz w:val="20"/>
                <w:szCs w:val="21"/>
                <w:lang w:val="en-US" w:eastAsia="zh-CN"/>
                <w14:textFill>
                  <w14:solidFill>
                    <w14:schemeClr w14:val="tx1"/>
                  </w14:solidFill>
                </w14:textFill>
              </w:rPr>
              <w:t>1</w:t>
            </w:r>
            <w:r>
              <w:rPr>
                <w:rFonts w:hint="eastAsia" w:ascii="仿宋" w:hAnsi="仿宋" w:eastAsia="仿宋" w:cs="仿宋"/>
                <w:color w:val="000000" w:themeColor="text1"/>
                <w:kern w:val="0"/>
                <w:sz w:val="20"/>
                <w:szCs w:val="21"/>
                <w14:textFill>
                  <w14:solidFill>
                    <w14:schemeClr w14:val="tx1"/>
                  </w14:solidFill>
                </w14:textFill>
              </w:rPr>
              <w:t>0分）</w:t>
            </w:r>
          </w:p>
        </w:tc>
        <w:tc>
          <w:tcPr>
            <w:tcW w:w="6018" w:type="dxa"/>
            <w:vAlign w:val="center"/>
          </w:tcPr>
          <w:p w14:paraId="09CD33E8">
            <w:pPr>
              <w:pStyle w:val="5"/>
              <w:rPr>
                <w:rFonts w:hint="eastAsia" w:ascii="仿宋" w:hAnsi="仿宋" w:eastAsia="仿宋" w:cs="仿宋"/>
                <w:color w:val="auto"/>
                <w:kern w:val="0"/>
                <w:sz w:val="20"/>
                <w:szCs w:val="21"/>
                <w:lang w:val="en-US" w:eastAsia="zh-CN"/>
              </w:rPr>
            </w:pPr>
            <w:r>
              <w:rPr>
                <w:rFonts w:hint="eastAsia" w:ascii="仿宋" w:hAnsi="仿宋" w:eastAsia="仿宋" w:cs="仿宋"/>
                <w:color w:val="auto"/>
                <w:kern w:val="0"/>
                <w:sz w:val="20"/>
                <w:szCs w:val="21"/>
                <w:lang w:val="en-US" w:eastAsia="zh-CN"/>
              </w:rPr>
              <w:t>项</w:t>
            </w:r>
            <w:r>
              <w:rPr>
                <w:rFonts w:hint="eastAsia" w:ascii="仿宋" w:hAnsi="仿宋" w:eastAsia="仿宋" w:cs="仿宋"/>
                <w:color w:val="auto"/>
                <w:kern w:val="0"/>
                <w:sz w:val="20"/>
                <w:szCs w:val="21"/>
                <w:lang w:val="en-US" w:eastAsia="zh-CN" w:bidi="ar-SA"/>
              </w:rPr>
              <w:t>目负责人具一级注册建筑师</w:t>
            </w:r>
            <w:r>
              <w:rPr>
                <w:rFonts w:hint="eastAsia" w:ascii="仿宋" w:hAnsi="仿宋" w:eastAsia="仿宋" w:cs="仿宋"/>
                <w:color w:val="auto"/>
                <w:kern w:val="0"/>
                <w:sz w:val="20"/>
                <w:szCs w:val="21"/>
                <w:lang w:val="en-US" w:eastAsia="zh-CN"/>
              </w:rPr>
              <w:t>执业资格证书得10分，本项满分10分。</w:t>
            </w:r>
          </w:p>
          <w:p w14:paraId="069443FE">
            <w:pPr>
              <w:jc w:val="center"/>
              <w:rPr>
                <w:rFonts w:hint="eastAsia" w:ascii="仿宋" w:hAnsi="仿宋" w:eastAsia="仿宋" w:cs="仿宋"/>
                <w:color w:val="auto"/>
                <w:kern w:val="0"/>
                <w:sz w:val="20"/>
                <w:szCs w:val="21"/>
                <w:lang w:val="en-US" w:eastAsia="zh-CN"/>
              </w:rPr>
            </w:pPr>
            <w:r>
              <w:rPr>
                <w:rFonts w:hint="eastAsia" w:ascii="仿宋" w:hAnsi="仿宋" w:eastAsia="仿宋" w:cs="仿宋"/>
                <w:color w:val="auto"/>
                <w:kern w:val="0"/>
                <w:sz w:val="20"/>
                <w:szCs w:val="21"/>
                <w:lang w:val="en-US" w:eastAsia="zh-CN"/>
              </w:rPr>
              <w:t>证明材料：投标文件内需提供项目负责人相关有效资格证书复印件或扫描件以及在本单位缴纳的2024年1月后任意连续至少三个月的社保证明材料（含分支机构）的复</w:t>
            </w:r>
            <w:bookmarkStart w:id="0" w:name="_GoBack"/>
            <w:bookmarkEnd w:id="0"/>
            <w:r>
              <w:rPr>
                <w:rFonts w:hint="eastAsia" w:ascii="仿宋" w:hAnsi="仿宋" w:eastAsia="仿宋" w:cs="仿宋"/>
                <w:color w:val="auto"/>
                <w:kern w:val="0"/>
                <w:sz w:val="20"/>
                <w:szCs w:val="21"/>
                <w:lang w:val="en-US" w:eastAsia="zh-CN"/>
              </w:rPr>
              <w:t>印件并加盖公章（网上打印的社保清单须有加盖社保管理单位电子公章）。不提供或不符合的不得</w:t>
            </w:r>
          </w:p>
          <w:p w14:paraId="7A206490">
            <w:pPr>
              <w:jc w:val="both"/>
              <w:rPr>
                <w:rFonts w:hint="default" w:ascii="仿宋" w:hAnsi="仿宋" w:eastAsia="仿宋" w:cs="仿宋"/>
                <w:b/>
                <w:bCs/>
                <w:color w:val="auto"/>
                <w:kern w:val="0"/>
                <w:sz w:val="20"/>
                <w:szCs w:val="21"/>
                <w:lang w:val="en-US" w:eastAsia="zh-CN"/>
              </w:rPr>
            </w:pPr>
            <w:r>
              <w:rPr>
                <w:rFonts w:hint="eastAsia" w:ascii="仿宋" w:hAnsi="仿宋" w:eastAsia="仿宋" w:cs="仿宋"/>
                <w:color w:val="auto"/>
                <w:kern w:val="0"/>
                <w:sz w:val="20"/>
                <w:szCs w:val="21"/>
                <w:lang w:val="en-US" w:eastAsia="zh-CN"/>
              </w:rPr>
              <w:t>分。</w:t>
            </w:r>
          </w:p>
        </w:tc>
      </w:tr>
      <w:tr w14:paraId="57C2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1230" w:type="dxa"/>
            <w:vAlign w:val="center"/>
          </w:tcPr>
          <w:p w14:paraId="237D4052">
            <w:pPr>
              <w:jc w:val="center"/>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3</w:t>
            </w:r>
          </w:p>
        </w:tc>
        <w:tc>
          <w:tcPr>
            <w:tcW w:w="1463" w:type="dxa"/>
            <w:vAlign w:val="center"/>
          </w:tcPr>
          <w:p w14:paraId="68ACE2ED">
            <w:pPr>
              <w:jc w:val="center"/>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业绩评审</w:t>
            </w:r>
          </w:p>
          <w:p w14:paraId="41348E95">
            <w:pPr>
              <w:jc w:val="center"/>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（20分）</w:t>
            </w:r>
          </w:p>
        </w:tc>
        <w:tc>
          <w:tcPr>
            <w:tcW w:w="6018" w:type="dxa"/>
            <w:vAlign w:val="center"/>
          </w:tcPr>
          <w:p w14:paraId="5487D9D9">
            <w:pPr>
              <w:rPr>
                <w:rFonts w:ascii="仿宋" w:hAnsi="仿宋" w:eastAsia="仿宋" w:cs="仿宋"/>
                <w:color w:val="auto"/>
                <w:kern w:val="0"/>
                <w:sz w:val="20"/>
                <w:szCs w:val="21"/>
              </w:rPr>
            </w:pPr>
            <w:r>
              <w:rPr>
                <w:rFonts w:hint="eastAsia" w:ascii="仿宋" w:hAnsi="仿宋" w:eastAsia="仿宋" w:cs="仿宋"/>
                <w:color w:val="auto"/>
                <w:kern w:val="0"/>
                <w:sz w:val="20"/>
                <w:szCs w:val="21"/>
              </w:rPr>
              <w:t>1、2021年1月1日至今承接过工程类</w:t>
            </w:r>
            <w:r>
              <w:rPr>
                <w:rFonts w:hint="eastAsia" w:ascii="仿宋" w:hAnsi="仿宋" w:eastAsia="仿宋" w:cs="仿宋"/>
                <w:color w:val="auto"/>
                <w:kern w:val="0"/>
                <w:sz w:val="20"/>
                <w:szCs w:val="21"/>
                <w:lang w:val="en-US" w:eastAsia="zh-CN"/>
              </w:rPr>
              <w:t>勘察设计</w:t>
            </w:r>
            <w:r>
              <w:rPr>
                <w:rFonts w:hint="eastAsia" w:ascii="仿宋" w:hAnsi="仿宋" w:eastAsia="仿宋" w:cs="仿宋"/>
                <w:color w:val="auto"/>
                <w:kern w:val="0"/>
                <w:sz w:val="20"/>
                <w:szCs w:val="21"/>
              </w:rPr>
              <w:t>业绩，招标金额</w:t>
            </w:r>
            <w:r>
              <w:rPr>
                <w:rFonts w:hint="eastAsia" w:ascii="仿宋" w:hAnsi="仿宋" w:eastAsia="仿宋" w:cs="仿宋"/>
                <w:color w:val="auto"/>
                <w:kern w:val="0"/>
                <w:sz w:val="20"/>
                <w:szCs w:val="21"/>
                <w:lang w:val="en-US" w:eastAsia="zh-CN"/>
              </w:rPr>
              <w:t>1</w:t>
            </w:r>
            <w:r>
              <w:rPr>
                <w:rFonts w:hint="eastAsia" w:ascii="仿宋" w:hAnsi="仿宋" w:eastAsia="仿宋" w:cs="仿宋"/>
                <w:color w:val="auto"/>
                <w:kern w:val="0"/>
                <w:sz w:val="20"/>
                <w:szCs w:val="21"/>
              </w:rPr>
              <w:t>0000万元（含）及以上的得5分，满分20分。该项最高得20分。</w:t>
            </w:r>
          </w:p>
          <w:p w14:paraId="6904C2A7">
            <w:pPr>
              <w:rPr>
                <w:rFonts w:ascii="仿宋" w:hAnsi="仿宋" w:eastAsia="仿宋" w:cs="仿宋"/>
                <w:color w:val="auto"/>
                <w:kern w:val="0"/>
                <w:sz w:val="20"/>
                <w:szCs w:val="21"/>
              </w:rPr>
            </w:pPr>
            <w:r>
              <w:rPr>
                <w:rFonts w:hint="eastAsia" w:ascii="仿宋" w:hAnsi="仿宋" w:eastAsia="仿宋" w:cs="仿宋"/>
                <w:color w:val="auto"/>
                <w:kern w:val="0"/>
                <w:sz w:val="20"/>
                <w:szCs w:val="21"/>
              </w:rPr>
              <w:t>注：工程类指工程施工招标业绩。</w:t>
            </w:r>
          </w:p>
          <w:p w14:paraId="5B82290C">
            <w:pPr>
              <w:rPr>
                <w:rFonts w:hint="eastAsia" w:ascii="仿宋" w:hAnsi="仿宋" w:eastAsia="仿宋" w:cs="仿宋"/>
                <w:color w:val="auto"/>
                <w:kern w:val="0"/>
                <w:sz w:val="20"/>
                <w:shd w:val="clear" w:color="auto" w:fill="FFFFFF"/>
                <w:lang w:val="en-US" w:eastAsia="zh-CN"/>
              </w:rPr>
            </w:pPr>
            <w:r>
              <w:rPr>
                <w:rFonts w:hint="eastAsia" w:ascii="仿宋" w:hAnsi="仿宋" w:eastAsia="仿宋" w:cs="仿宋"/>
                <w:b/>
                <w:bCs/>
                <w:color w:val="auto"/>
                <w:kern w:val="0"/>
                <w:sz w:val="20"/>
                <w:szCs w:val="21"/>
              </w:rPr>
              <w:t>证明材料：提供合同（或代理协议）</w:t>
            </w:r>
            <w:r>
              <w:rPr>
                <w:rFonts w:hint="eastAsia" w:ascii="仿宋" w:hAnsi="仿宋" w:eastAsia="仿宋" w:cs="仿宋"/>
                <w:b/>
                <w:bCs/>
                <w:color w:val="auto"/>
                <w:kern w:val="0"/>
                <w:sz w:val="20"/>
                <w:szCs w:val="21"/>
                <w:lang w:val="en-US" w:eastAsia="zh-CN"/>
              </w:rPr>
              <w:t>或</w:t>
            </w:r>
            <w:r>
              <w:rPr>
                <w:rFonts w:hint="eastAsia" w:ascii="仿宋" w:hAnsi="仿宋" w:eastAsia="仿宋" w:cs="仿宋"/>
                <w:b/>
                <w:bCs/>
                <w:color w:val="auto"/>
                <w:kern w:val="0"/>
                <w:sz w:val="20"/>
                <w:szCs w:val="21"/>
              </w:rPr>
              <w:t>招标公告截图</w:t>
            </w:r>
            <w:r>
              <w:rPr>
                <w:rFonts w:hint="eastAsia" w:ascii="仿宋" w:hAnsi="仿宋" w:eastAsia="仿宋" w:cs="仿宋"/>
                <w:b/>
                <w:bCs/>
                <w:color w:val="auto"/>
                <w:kern w:val="0"/>
                <w:sz w:val="20"/>
                <w:szCs w:val="21"/>
                <w:lang w:val="en-US" w:eastAsia="zh-CN"/>
              </w:rPr>
              <w:t>并加盖公章</w:t>
            </w:r>
            <w:r>
              <w:rPr>
                <w:rFonts w:hint="eastAsia" w:ascii="仿宋" w:hAnsi="仿宋" w:eastAsia="仿宋" w:cs="仿宋"/>
                <w:b/>
                <w:bCs/>
                <w:color w:val="auto"/>
                <w:kern w:val="0"/>
                <w:sz w:val="20"/>
                <w:szCs w:val="21"/>
                <w:lang w:eastAsia="zh-CN"/>
              </w:rPr>
              <w:t>。</w:t>
            </w:r>
          </w:p>
        </w:tc>
      </w:tr>
      <w:tr w14:paraId="7226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230" w:type="dxa"/>
            <w:vMerge w:val="restart"/>
            <w:vAlign w:val="center"/>
          </w:tcPr>
          <w:p w14:paraId="2E3D11FD">
            <w:pPr>
              <w:jc w:val="center"/>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4</w:t>
            </w:r>
          </w:p>
        </w:tc>
        <w:tc>
          <w:tcPr>
            <w:tcW w:w="1463" w:type="dxa"/>
            <w:vMerge w:val="restart"/>
            <w:vAlign w:val="center"/>
          </w:tcPr>
          <w:p w14:paraId="3FACB1CB">
            <w:pPr>
              <w:jc w:val="center"/>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招标方案</w:t>
            </w:r>
          </w:p>
          <w:p w14:paraId="4C3F7B97">
            <w:pPr>
              <w:jc w:val="center"/>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（45分）</w:t>
            </w:r>
          </w:p>
        </w:tc>
        <w:tc>
          <w:tcPr>
            <w:tcW w:w="6018" w:type="dxa"/>
            <w:vAlign w:val="center"/>
          </w:tcPr>
          <w:p w14:paraId="71231B28">
            <w:pPr>
              <w:jc w:val="left"/>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（1）本项目</w:t>
            </w:r>
            <w:r>
              <w:rPr>
                <w:rFonts w:hint="eastAsia" w:ascii="仿宋" w:hAnsi="仿宋" w:eastAsia="仿宋" w:cs="仿宋"/>
                <w:color w:val="000000" w:themeColor="text1"/>
                <w:kern w:val="0"/>
                <w:sz w:val="20"/>
                <w:szCs w:val="21"/>
                <w:lang w:val="en-US" w:eastAsia="zh-CN"/>
                <w14:textFill>
                  <w14:solidFill>
                    <w14:schemeClr w14:val="tx1"/>
                  </w14:solidFill>
                </w14:textFill>
              </w:rPr>
              <w:t>勘察设计</w:t>
            </w:r>
            <w:r>
              <w:rPr>
                <w:rFonts w:hint="eastAsia" w:ascii="仿宋" w:hAnsi="仿宋" w:eastAsia="仿宋" w:cs="仿宋"/>
                <w:color w:val="000000" w:themeColor="text1"/>
                <w:kern w:val="0"/>
                <w:sz w:val="20"/>
                <w:szCs w:val="21"/>
                <w14:textFill>
                  <w14:solidFill>
                    <w14:schemeClr w14:val="tx1"/>
                  </w14:solidFill>
                </w14:textFill>
              </w:rPr>
              <w:t>工作程序</w:t>
            </w:r>
            <w:r>
              <w:rPr>
                <w:rFonts w:hint="eastAsia" w:ascii="仿宋" w:hAnsi="仿宋" w:eastAsia="仿宋" w:cs="仿宋"/>
                <w:color w:val="000000" w:themeColor="text1"/>
                <w:kern w:val="0"/>
                <w:sz w:val="20"/>
                <w:szCs w:val="21"/>
                <w14:textFill>
                  <w14:solidFill>
                    <w14:schemeClr w14:val="tx1"/>
                  </w14:solidFill>
                </w14:textFill>
              </w:rPr>
              <w:br w:type="textWrapping"/>
            </w:r>
            <w:r>
              <w:rPr>
                <w:rFonts w:hint="eastAsia" w:ascii="仿宋" w:hAnsi="仿宋" w:eastAsia="仿宋" w:cs="仿宋"/>
                <w:color w:val="000000" w:themeColor="text1"/>
                <w:kern w:val="0"/>
                <w:sz w:val="20"/>
                <w:szCs w:val="21"/>
                <w14:textFill>
                  <w14:solidFill>
                    <w14:schemeClr w14:val="tx1"/>
                  </w14:solidFill>
                </w14:textFill>
              </w:rPr>
              <w:t>方案中包含但不限于：</w:t>
            </w:r>
            <w:r>
              <w:rPr>
                <w:rFonts w:hint="eastAsia" w:ascii="仿宋" w:hAnsi="仿宋" w:eastAsia="仿宋" w:cs="仿宋"/>
                <w:color w:val="000000" w:themeColor="text1"/>
                <w:kern w:val="0"/>
                <w:sz w:val="20"/>
                <w:szCs w:val="21"/>
                <w:lang w:val="en-US" w:eastAsia="zh-CN"/>
                <w14:textFill>
                  <w14:solidFill>
                    <w14:schemeClr w14:val="tx1"/>
                  </w14:solidFill>
                </w14:textFill>
              </w:rPr>
              <w:t>勘察设计</w:t>
            </w:r>
            <w:r>
              <w:rPr>
                <w:rFonts w:hint="eastAsia" w:ascii="仿宋" w:hAnsi="仿宋" w:eastAsia="仿宋" w:cs="仿宋"/>
                <w:color w:val="000000" w:themeColor="text1"/>
                <w:kern w:val="0"/>
                <w:sz w:val="20"/>
                <w:szCs w:val="21"/>
                <w14:textFill>
                  <w14:solidFill>
                    <w14:schemeClr w14:val="tx1"/>
                  </w14:solidFill>
                </w14:textFill>
              </w:rPr>
              <w:t>中选后至开标前准备工作、开标程序及注意事项、开标后收尾工作。</w:t>
            </w:r>
          </w:p>
          <w:p w14:paraId="16BE572E">
            <w:pPr>
              <w:jc w:val="left"/>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1、工作程序要点齐全，方案切实可行，制度和措施健全、完善，实施过程务实；得11~15分。</w:t>
            </w:r>
          </w:p>
          <w:p w14:paraId="2C25E9F6">
            <w:pPr>
              <w:jc w:val="left"/>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2、工作程序要点基本齐全 ，方案较切实可行，制度和措施基本健全、基本完善，实施过程一般；得6~10.9分。</w:t>
            </w:r>
          </w:p>
          <w:p w14:paraId="01E38D02">
            <w:pPr>
              <w:jc w:val="left"/>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3、工作程序要点不齐全，方案不可行，制度和措施不健全、</w:t>
            </w:r>
            <w:r>
              <w:rPr>
                <w:rFonts w:hint="eastAsia" w:ascii="仿宋" w:hAnsi="仿宋" w:eastAsia="仿宋" w:cs="仿宋"/>
                <w:color w:val="000000" w:themeColor="text1"/>
                <w:kern w:val="0"/>
                <w:sz w:val="20"/>
                <w:szCs w:val="21"/>
                <w14:textFill>
                  <w14:solidFill>
                    <w14:schemeClr w14:val="tx1"/>
                  </w14:solidFill>
                </w14:textFill>
              </w:rPr>
              <w:t>不完善，实施过程差；得0~5.9分。</w:t>
            </w:r>
          </w:p>
          <w:p w14:paraId="5FF05AC3">
            <w:pPr>
              <w:jc w:val="left"/>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4、不提供不得分。</w:t>
            </w:r>
          </w:p>
        </w:tc>
      </w:tr>
      <w:tr w14:paraId="17A5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230" w:type="dxa"/>
            <w:vMerge w:val="continue"/>
            <w:vAlign w:val="center"/>
          </w:tcPr>
          <w:p w14:paraId="79FDF04C">
            <w:pPr>
              <w:jc w:val="center"/>
              <w:rPr>
                <w:rFonts w:ascii="仿宋" w:hAnsi="仿宋" w:eastAsia="仿宋" w:cs="仿宋"/>
                <w:color w:val="000000" w:themeColor="text1"/>
                <w:kern w:val="0"/>
                <w:sz w:val="24"/>
                <w14:textFill>
                  <w14:solidFill>
                    <w14:schemeClr w14:val="tx1"/>
                  </w14:solidFill>
                </w14:textFill>
              </w:rPr>
            </w:pPr>
          </w:p>
        </w:tc>
        <w:tc>
          <w:tcPr>
            <w:tcW w:w="1463" w:type="dxa"/>
            <w:vMerge w:val="continue"/>
            <w:vAlign w:val="center"/>
          </w:tcPr>
          <w:p w14:paraId="275AD267">
            <w:pPr>
              <w:jc w:val="center"/>
              <w:rPr>
                <w:rFonts w:ascii="仿宋" w:hAnsi="仿宋" w:eastAsia="仿宋" w:cs="仿宋"/>
                <w:color w:val="000000" w:themeColor="text1"/>
                <w:kern w:val="0"/>
                <w:sz w:val="20"/>
                <w:szCs w:val="21"/>
                <w14:textFill>
                  <w14:solidFill>
                    <w14:schemeClr w14:val="tx1"/>
                  </w14:solidFill>
                </w14:textFill>
              </w:rPr>
            </w:pPr>
          </w:p>
        </w:tc>
        <w:tc>
          <w:tcPr>
            <w:tcW w:w="6018" w:type="dxa"/>
            <w:vAlign w:val="center"/>
          </w:tcPr>
          <w:p w14:paraId="40885061">
            <w:pPr>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（2）</w:t>
            </w:r>
            <w:r>
              <w:rPr>
                <w:rFonts w:hint="eastAsia" w:ascii="仿宋" w:hAnsi="仿宋" w:eastAsia="仿宋" w:cs="仿宋"/>
                <w:color w:val="000000" w:themeColor="text1"/>
                <w:kern w:val="0"/>
                <w:sz w:val="20"/>
                <w:szCs w:val="21"/>
                <w:lang w:eastAsia="zh-CN"/>
                <w14:textFill>
                  <w14:solidFill>
                    <w14:schemeClr w14:val="tx1"/>
                  </w14:solidFill>
                </w14:textFill>
              </w:rPr>
              <w:t>勘察设计</w:t>
            </w:r>
            <w:r>
              <w:rPr>
                <w:rFonts w:hint="eastAsia" w:ascii="仿宋" w:hAnsi="仿宋" w:eastAsia="仿宋" w:cs="仿宋"/>
                <w:color w:val="000000" w:themeColor="text1"/>
                <w:kern w:val="0"/>
                <w:sz w:val="20"/>
                <w:szCs w:val="21"/>
                <w14:textFill>
                  <w14:solidFill>
                    <w14:schemeClr w14:val="tx1"/>
                  </w14:solidFill>
                </w14:textFill>
              </w:rPr>
              <w:t>质量保证措施</w:t>
            </w:r>
          </w:p>
          <w:p w14:paraId="21F5389C">
            <w:pPr>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1、质量保证措施要点齐全，方案切实可行，制度和措施健全、完善，实施过程务实；得11~15分。</w:t>
            </w:r>
          </w:p>
          <w:p w14:paraId="35801EB8">
            <w:pPr>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2、质量保证措施要点基本齐全，方案较切实可行，制度和措施基本健全、基本完善，实施过程一般；得6~10.9分。</w:t>
            </w:r>
          </w:p>
          <w:p w14:paraId="36DAEEB5">
            <w:pPr>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3、质量保证措施要点不齐全，方案不可行，制度和措施不健全、不完善，实施过程差；得0~5.9分。</w:t>
            </w:r>
          </w:p>
          <w:p w14:paraId="6F66CE92">
            <w:pP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4、不提供不得分。</w:t>
            </w:r>
          </w:p>
        </w:tc>
      </w:tr>
      <w:tr w14:paraId="36D0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230" w:type="dxa"/>
            <w:vMerge w:val="continue"/>
            <w:vAlign w:val="center"/>
          </w:tcPr>
          <w:p w14:paraId="07180C59">
            <w:pPr>
              <w:jc w:val="center"/>
              <w:rPr>
                <w:rFonts w:ascii="仿宋" w:hAnsi="仿宋" w:eastAsia="仿宋" w:cs="仿宋"/>
                <w:color w:val="000000" w:themeColor="text1"/>
                <w:kern w:val="0"/>
                <w:sz w:val="24"/>
                <w14:textFill>
                  <w14:solidFill>
                    <w14:schemeClr w14:val="tx1"/>
                  </w14:solidFill>
                </w14:textFill>
              </w:rPr>
            </w:pPr>
          </w:p>
        </w:tc>
        <w:tc>
          <w:tcPr>
            <w:tcW w:w="1463" w:type="dxa"/>
            <w:vMerge w:val="continue"/>
            <w:vAlign w:val="center"/>
          </w:tcPr>
          <w:p w14:paraId="2F158310">
            <w:pPr>
              <w:jc w:val="center"/>
              <w:rPr>
                <w:rFonts w:ascii="仿宋" w:hAnsi="仿宋" w:eastAsia="仿宋" w:cs="仿宋"/>
                <w:color w:val="000000" w:themeColor="text1"/>
                <w:kern w:val="0"/>
                <w:sz w:val="20"/>
                <w:szCs w:val="21"/>
                <w14:textFill>
                  <w14:solidFill>
                    <w14:schemeClr w14:val="tx1"/>
                  </w14:solidFill>
                </w14:textFill>
              </w:rPr>
            </w:pPr>
          </w:p>
        </w:tc>
        <w:tc>
          <w:tcPr>
            <w:tcW w:w="6018" w:type="dxa"/>
            <w:vAlign w:val="center"/>
          </w:tcPr>
          <w:p w14:paraId="1E26F6AC">
            <w:pPr>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（3）处理突发事件及投诉的策略方案</w:t>
            </w:r>
            <w:r>
              <w:rPr>
                <w:rFonts w:hint="eastAsia" w:ascii="仿宋" w:hAnsi="仿宋" w:eastAsia="仿宋" w:cs="仿宋"/>
                <w:color w:val="000000" w:themeColor="text1"/>
                <w:kern w:val="0"/>
                <w:sz w:val="20"/>
                <w:szCs w:val="21"/>
                <w14:textFill>
                  <w14:solidFill>
                    <w14:schemeClr w14:val="tx1"/>
                  </w14:solidFill>
                </w14:textFill>
              </w:rPr>
              <w:br w:type="textWrapping"/>
            </w:r>
            <w:r>
              <w:rPr>
                <w:rFonts w:hint="eastAsia" w:ascii="仿宋" w:hAnsi="仿宋" w:eastAsia="仿宋" w:cs="仿宋"/>
                <w:color w:val="000000" w:themeColor="text1"/>
                <w:kern w:val="0"/>
                <w:sz w:val="20"/>
                <w:szCs w:val="21"/>
                <w14:textFill>
                  <w14:solidFill>
                    <w14:schemeClr w14:val="tx1"/>
                  </w14:solidFill>
                </w14:textFill>
              </w:rPr>
              <w:t>1、处理突发事件及投诉的要点齐全，方案切实可行，制度和措施健全、完善，实施过程务实；得11~15分。</w:t>
            </w:r>
          </w:p>
          <w:p w14:paraId="0EB79AE1">
            <w:pPr>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2、处理突发事件及投诉的要点基本齐全 ，方案较切实可行，制度和措施基本健全、基本完善，实施过程一般；得6~10.9分。</w:t>
            </w:r>
          </w:p>
          <w:p w14:paraId="22191B11">
            <w:pPr>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3、处理突发事件及投诉的要点不齐全，方案不可行，制度和措施不健全、不完善，实施过程差；得0~5.9分。</w:t>
            </w:r>
          </w:p>
          <w:p w14:paraId="5EBD95A3">
            <w:pP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szCs w:val="21"/>
                <w14:textFill>
                  <w14:solidFill>
                    <w14:schemeClr w14:val="tx1"/>
                  </w14:solidFill>
                </w14:textFill>
              </w:rPr>
              <w:t>4、不提供不得分。</w:t>
            </w:r>
          </w:p>
        </w:tc>
      </w:tr>
    </w:tbl>
    <w:p w14:paraId="04B893B9">
      <w:pPr>
        <w:rPr>
          <w:rFonts w:hint="eastAsia"/>
          <w:lang w:val="en-US" w:eastAsia="zh-CN"/>
        </w:rPr>
      </w:pPr>
    </w:p>
    <w:sectPr>
      <w:pgSz w:w="11906" w:h="16838"/>
      <w:pgMar w:top="646" w:right="1519" w:bottom="1157"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ZDVkNWRmNzZiY2VlOTAwZjVkNjY3NmZhYjQ2NjEifQ=="/>
  </w:docVars>
  <w:rsids>
    <w:rsidRoot w:val="003E0EEA"/>
    <w:rsid w:val="00295BA7"/>
    <w:rsid w:val="003E0EEA"/>
    <w:rsid w:val="003F2577"/>
    <w:rsid w:val="006C04B9"/>
    <w:rsid w:val="00CE6E44"/>
    <w:rsid w:val="05AF242C"/>
    <w:rsid w:val="07727AAE"/>
    <w:rsid w:val="0F55569B"/>
    <w:rsid w:val="0FEB7BBE"/>
    <w:rsid w:val="10022B3A"/>
    <w:rsid w:val="26265313"/>
    <w:rsid w:val="28E66C0C"/>
    <w:rsid w:val="2BD91ECE"/>
    <w:rsid w:val="2D4B373A"/>
    <w:rsid w:val="2ED1000A"/>
    <w:rsid w:val="306A2902"/>
    <w:rsid w:val="35EC0588"/>
    <w:rsid w:val="43C22D3F"/>
    <w:rsid w:val="533C2AE2"/>
    <w:rsid w:val="55616596"/>
    <w:rsid w:val="56212761"/>
    <w:rsid w:val="5F3F4E84"/>
    <w:rsid w:val="61CE31A0"/>
    <w:rsid w:val="7A080F1E"/>
    <w:rsid w:val="7E557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link w:val="11"/>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spacing w:after="120"/>
      <w:jc w:val="left"/>
    </w:pPr>
    <w:rPr>
      <w:kern w:val="0"/>
    </w:rPr>
  </w:style>
  <w:style w:type="paragraph" w:styleId="3">
    <w:name w:val="Title"/>
    <w:basedOn w:val="1"/>
    <w:next w:val="1"/>
    <w:link w:val="12"/>
    <w:qFormat/>
    <w:uiPriority w:val="0"/>
    <w:pPr>
      <w:spacing w:before="240" w:after="60"/>
      <w:jc w:val="center"/>
      <w:outlineLvl w:val="0"/>
    </w:pPr>
    <w:rPr>
      <w:rFonts w:eastAsia="宋体" w:asciiTheme="majorHAnsi" w:hAnsiTheme="majorHAnsi" w:cstheme="majorBidi"/>
      <w:b/>
      <w:bCs/>
      <w:sz w:val="32"/>
      <w:szCs w:val="32"/>
    </w:rPr>
  </w:style>
  <w:style w:type="paragraph" w:styleId="5">
    <w:name w:val="annotation text"/>
    <w:basedOn w:val="1"/>
    <w:semiHidden/>
    <w:unhideWhenUsed/>
    <w:qFormat/>
    <w:uiPriority w:val="99"/>
    <w:pPr>
      <w:jc w:val="left"/>
    </w:pPr>
  </w:style>
  <w:style w:type="paragraph" w:styleId="6">
    <w:name w:val="toc 1"/>
    <w:basedOn w:val="1"/>
    <w:next w:val="1"/>
    <w:qFormat/>
    <w:uiPriority w:val="39"/>
    <w:pPr>
      <w:spacing w:before="120" w:after="120"/>
      <w:jc w:val="left"/>
    </w:pPr>
    <w:rPr>
      <w:b/>
      <w:bCs/>
      <w:caps/>
      <w:sz w:val="20"/>
      <w:szCs w:val="20"/>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标题 3 Char"/>
    <w:basedOn w:val="9"/>
    <w:link w:val="4"/>
    <w:qFormat/>
    <w:uiPriority w:val="9"/>
    <w:rPr>
      <w:b/>
      <w:bCs/>
      <w:sz w:val="32"/>
      <w:szCs w:val="32"/>
    </w:rPr>
  </w:style>
  <w:style w:type="character" w:customStyle="1" w:styleId="12">
    <w:name w:val="标题 Char"/>
    <w:basedOn w:val="9"/>
    <w:link w:val="3"/>
    <w:qFormat/>
    <w:uiPriority w:val="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854</Words>
  <Characters>913</Characters>
  <Lines>11</Lines>
  <Paragraphs>3</Paragraphs>
  <TotalTime>4</TotalTime>
  <ScaleCrop>false</ScaleCrop>
  <LinksUpToDate>false</LinksUpToDate>
  <CharactersWithSpaces>924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2024-06-10T10:06:00Z</dcterms:created>
  <dc:creator>微软用户</dc:creator>
  <cp:lastModifiedBy>南风未起</cp:lastModifiedBy>
  <cp:lastPrinted>2024-10-10T08:55:31Z</cp:lastPrinted>
  <dcterms:modified xsi:type="dcterms:W3CDTF">2024-10-10T09:46:57Z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9D47ECCFB87B43ED8A978571066BE6B0_13</vt:lpwstr>
  </property>
</Properties>
</file>